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7AC" w:rsidRPr="008337AC" w:rsidRDefault="008337AC" w:rsidP="008337AC">
      <w:pPr>
        <w:spacing w:after="0" w:line="240" w:lineRule="auto"/>
        <w:jc w:val="center"/>
        <w:rPr>
          <w:rFonts w:eastAsia="Calibri"/>
          <w:b/>
        </w:rPr>
      </w:pPr>
    </w:p>
    <w:p w:rsidR="008337AC" w:rsidRPr="008337AC" w:rsidRDefault="008337AC" w:rsidP="008337AC">
      <w:pPr>
        <w:overflowPunct w:val="0"/>
        <w:autoSpaceDE w:val="0"/>
        <w:autoSpaceDN w:val="0"/>
        <w:adjustRightInd w:val="0"/>
        <w:spacing w:after="0" w:line="240" w:lineRule="auto"/>
        <w:ind w:firstLine="567"/>
        <w:jc w:val="center"/>
        <w:rPr>
          <w:rFonts w:eastAsia="Times New Roman"/>
          <w:b/>
          <w:bCs/>
          <w:color w:val="000001"/>
          <w:lang w:eastAsia="ru-RU"/>
        </w:rPr>
      </w:pPr>
      <w:r w:rsidRPr="008337AC">
        <w:rPr>
          <w:rFonts w:eastAsia="Times New Roman"/>
          <w:b/>
          <w:bCs/>
          <w:color w:val="000001"/>
          <w:lang w:eastAsia="ru-RU"/>
        </w:rPr>
        <w:t xml:space="preserve">Іноземні мови </w:t>
      </w:r>
    </w:p>
    <w:p w:rsidR="008337AC" w:rsidRPr="008337AC" w:rsidRDefault="008337AC" w:rsidP="008337AC">
      <w:pPr>
        <w:spacing w:after="0" w:line="240" w:lineRule="auto"/>
        <w:jc w:val="both"/>
        <w:rPr>
          <w:rFonts w:eastAsia="Times New Roman"/>
          <w:lang w:eastAsia="uk-UA"/>
        </w:rPr>
      </w:pPr>
      <w:r w:rsidRPr="008337AC">
        <w:rPr>
          <w:rFonts w:eastAsia="Times New Roman"/>
          <w:color w:val="000001"/>
          <w:lang w:eastAsia="ru-RU"/>
        </w:rPr>
        <w:tab/>
      </w:r>
      <w:r w:rsidRPr="008337AC">
        <w:rPr>
          <w:rFonts w:eastAsia="Times New Roman"/>
          <w:lang w:eastAsia="ru-RU"/>
        </w:rPr>
        <w:t>Вивчення іноземних мов у 2015-2016 навчальному році буде здійснюватись за такими  навчальними програмами:</w:t>
      </w:r>
    </w:p>
    <w:p w:rsidR="008337AC" w:rsidRPr="008337AC" w:rsidRDefault="008337AC" w:rsidP="008337AC">
      <w:pPr>
        <w:spacing w:after="0" w:line="240" w:lineRule="auto"/>
        <w:ind w:firstLine="540"/>
        <w:jc w:val="both"/>
        <w:rPr>
          <w:rFonts w:eastAsia="Times New Roman"/>
          <w:lang w:eastAsia="ru-RU"/>
        </w:rPr>
      </w:pPr>
      <w:r w:rsidRPr="008337AC">
        <w:rPr>
          <w:rFonts w:eastAsia="Times New Roman"/>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1-4 класи»,  Видавничий дім «Освіта», 2012;</w:t>
      </w:r>
    </w:p>
    <w:p w:rsidR="008337AC" w:rsidRPr="008337AC" w:rsidRDefault="008337AC" w:rsidP="008337AC">
      <w:pPr>
        <w:spacing w:after="0" w:line="240" w:lineRule="auto"/>
        <w:ind w:firstLine="540"/>
        <w:jc w:val="both"/>
        <w:rPr>
          <w:rFonts w:eastAsia="Times New Roman"/>
          <w:lang w:eastAsia="ru-RU"/>
        </w:rPr>
      </w:pPr>
      <w:r w:rsidRPr="008337AC">
        <w:rPr>
          <w:rFonts w:eastAsia="Times New Roman"/>
          <w:lang w:eastAsia="ru-RU"/>
        </w:rPr>
        <w:t>«Програми для спеціалізованих шкіл з поглибленим вивченням іноземної мови, Іноземні мови. 5-9 класи», Видавничий дім «Освіта», 2013;</w:t>
      </w:r>
    </w:p>
    <w:p w:rsidR="008337AC" w:rsidRPr="008337AC" w:rsidRDefault="008337AC" w:rsidP="008337AC">
      <w:pPr>
        <w:spacing w:after="0" w:line="240" w:lineRule="auto"/>
        <w:ind w:firstLine="540"/>
        <w:jc w:val="both"/>
        <w:rPr>
          <w:rFonts w:eastAsia="Times New Roman"/>
          <w:lang w:eastAsia="ru-RU"/>
        </w:rPr>
      </w:pPr>
      <w:r w:rsidRPr="008337AC">
        <w:rPr>
          <w:rFonts w:eastAsia="Times New Roman"/>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10-11 класи»,  Київ, 2010;</w:t>
      </w:r>
    </w:p>
    <w:p w:rsidR="008337AC" w:rsidRPr="008337AC" w:rsidRDefault="008337AC" w:rsidP="008337AC">
      <w:pPr>
        <w:spacing w:after="0" w:line="240" w:lineRule="auto"/>
        <w:jc w:val="both"/>
        <w:rPr>
          <w:rFonts w:eastAsia="Times New Roman"/>
          <w:lang w:eastAsia="ru-RU"/>
        </w:rPr>
      </w:pPr>
      <w:r w:rsidRPr="008337AC">
        <w:rPr>
          <w:rFonts w:eastAsia="Times New Roman"/>
          <w:lang w:eastAsia="ru-RU"/>
        </w:rPr>
        <w:t xml:space="preserve">     «Програми для загальноосвітніх навчальних закладів. Іноземні мови. 5-7 класи», Видавничий дім «Освіта», 2013;</w:t>
      </w:r>
    </w:p>
    <w:p w:rsidR="008337AC" w:rsidRPr="008337AC" w:rsidRDefault="008337AC" w:rsidP="008337AC">
      <w:pPr>
        <w:spacing w:after="0" w:line="240" w:lineRule="auto"/>
        <w:jc w:val="both"/>
        <w:rPr>
          <w:rFonts w:eastAsia="Times New Roman"/>
          <w:lang w:eastAsia="ru-RU"/>
        </w:rPr>
      </w:pPr>
      <w:r w:rsidRPr="008337AC">
        <w:rPr>
          <w:rFonts w:eastAsia="Times New Roman"/>
          <w:lang w:eastAsia="ru-RU"/>
        </w:rPr>
        <w:t xml:space="preserve">      «Програми для загальноосвітніх навчальних закладів. Іноземні мови. 8-9 класи», «Перун», 2005;</w:t>
      </w:r>
    </w:p>
    <w:p w:rsidR="008337AC" w:rsidRPr="008337AC" w:rsidRDefault="008337AC" w:rsidP="008337AC">
      <w:pPr>
        <w:spacing w:after="0" w:line="240" w:lineRule="auto"/>
        <w:jc w:val="both"/>
        <w:rPr>
          <w:rFonts w:eastAsia="Times New Roman"/>
          <w:lang w:eastAsia="ru-RU"/>
        </w:rPr>
      </w:pPr>
      <w:r w:rsidRPr="008337AC">
        <w:rPr>
          <w:rFonts w:eastAsia="Times New Roman"/>
          <w:lang w:eastAsia="ru-RU"/>
        </w:rPr>
        <w:t xml:space="preserve">      «Програми для загальноосвітніх навчальних закладів. Друга іноземна мова. 5-11 класи», Видавничий дім «Освіта», 2013.</w:t>
      </w:r>
    </w:p>
    <w:p w:rsidR="008337AC" w:rsidRPr="008337AC" w:rsidRDefault="008337AC" w:rsidP="008337AC">
      <w:pPr>
        <w:spacing w:after="0" w:line="240" w:lineRule="auto"/>
        <w:jc w:val="both"/>
        <w:rPr>
          <w:rFonts w:eastAsia="Times New Roman"/>
          <w:lang w:eastAsia="ru-RU"/>
        </w:rPr>
      </w:pPr>
      <w:r w:rsidRPr="008337AC">
        <w:rPr>
          <w:rFonts w:eastAsia="Times New Roman"/>
          <w:lang w:eastAsia="ru-RU"/>
        </w:rPr>
        <w:t xml:space="preserve">        Навчальні програми не встановлюють порядок (послідовність) вивчення предметної тематики у рамках навчального року, а лише вказують на зміст, вивчення котрого є об’єктом тематичного та семестрового  контролю.</w:t>
      </w:r>
    </w:p>
    <w:p w:rsidR="008337AC" w:rsidRPr="008337AC" w:rsidRDefault="008337AC" w:rsidP="008337AC">
      <w:pPr>
        <w:spacing w:after="0" w:line="240" w:lineRule="auto"/>
        <w:jc w:val="both"/>
        <w:rPr>
          <w:rFonts w:eastAsia="Times New Roman"/>
          <w:lang w:eastAsia="ru-RU"/>
        </w:rPr>
      </w:pPr>
      <w:r w:rsidRPr="008337AC">
        <w:rPr>
          <w:rFonts w:eastAsia="Times New Roman"/>
          <w:lang w:eastAsia="ru-RU"/>
        </w:rPr>
        <w:t xml:space="preserve">       Програми з іноземних мов мають наскрізний характер та представлені в єдиній системі, у діяльнісній термінології з чітко вираженою кореляцією між класами. </w:t>
      </w:r>
    </w:p>
    <w:p w:rsidR="008337AC" w:rsidRPr="008337AC" w:rsidRDefault="008337AC" w:rsidP="008337AC">
      <w:pPr>
        <w:spacing w:after="0" w:line="240" w:lineRule="auto"/>
        <w:ind w:firstLine="709"/>
        <w:jc w:val="both"/>
        <w:rPr>
          <w:rFonts w:eastAsia="Times New Roman"/>
          <w:lang w:eastAsia="ru-RU"/>
        </w:rPr>
      </w:pPr>
      <w:r w:rsidRPr="008337AC">
        <w:rPr>
          <w:rFonts w:eastAsia="Times New Roman"/>
          <w:lang w:eastAsia="ru-RU"/>
        </w:rPr>
        <w:t xml:space="preserve">У 2015 році в  навчальні програми з іноземних мов для учнів 1-9 класів внесено певні зміни. </w:t>
      </w:r>
    </w:p>
    <w:p w:rsidR="008337AC" w:rsidRPr="008337AC" w:rsidRDefault="008337AC" w:rsidP="008337AC">
      <w:pPr>
        <w:spacing w:after="0" w:line="240" w:lineRule="auto"/>
        <w:jc w:val="both"/>
        <w:rPr>
          <w:rFonts w:eastAsia="Times New Roman"/>
          <w:lang w:eastAsia="ru-RU"/>
        </w:rPr>
      </w:pPr>
      <w:r w:rsidRPr="008337AC">
        <w:rPr>
          <w:rFonts w:eastAsia="Times New Roman"/>
          <w:lang w:eastAsia="ru-RU"/>
        </w:rPr>
        <w:t xml:space="preserve">         Зокрема, конкретизовано опис діяльнісного підходу  до іншомовної освіти, що   включає в зміст вивчення не тільки знання, навички та вміння, а й навчальні стратегії та комунікативні функції з комунікативно-спрямованими завданнями. Важливу роль відіграватиме така змістова категорія як ставлення учнів до предмета і до процесу його вивчення (мотивація). Такий підхід навчить учнів бути відповідальними за знання, яких  вони набувають,  і розуміти, чому ці знання, важливі для них,  забезпечить використання учнями набутих знань у навчальній діяльності. </w:t>
      </w:r>
    </w:p>
    <w:p w:rsidR="008337AC" w:rsidRPr="008337AC" w:rsidRDefault="008337AC" w:rsidP="009B4AB3">
      <w:pPr>
        <w:spacing w:after="0" w:line="240" w:lineRule="auto"/>
        <w:jc w:val="both"/>
        <w:rPr>
          <w:rFonts w:eastAsia="Times New Roman"/>
          <w:lang w:eastAsia="ru-RU"/>
        </w:rPr>
      </w:pPr>
      <w:r w:rsidRPr="008337AC">
        <w:rPr>
          <w:rFonts w:eastAsia="Times New Roman"/>
          <w:lang w:eastAsia="ru-RU"/>
        </w:rPr>
        <w:t xml:space="preserve">         Перенесено розширену інформацію краєзнавчого характеру про</w:t>
      </w:r>
      <w:r w:rsidR="009B4AB3">
        <w:rPr>
          <w:rFonts w:eastAsia="Times New Roman"/>
          <w:lang w:eastAsia="ru-RU"/>
        </w:rPr>
        <w:t xml:space="preserve"> </w:t>
      </w:r>
      <w:r w:rsidRPr="008337AC">
        <w:rPr>
          <w:rFonts w:eastAsia="Times New Roman"/>
          <w:lang w:eastAsia="ru-RU"/>
        </w:rPr>
        <w:t xml:space="preserve"> історію рідного краю з 4-го класу до 5-го  та 6-го класів, </w:t>
      </w:r>
      <w:r w:rsidR="009B4AB3">
        <w:rPr>
          <w:rFonts w:eastAsia="Times New Roman"/>
          <w:lang w:eastAsia="ru-RU"/>
        </w:rPr>
        <w:t xml:space="preserve"> </w:t>
      </w:r>
      <w:r w:rsidRPr="008337AC">
        <w:rPr>
          <w:rFonts w:eastAsia="Times New Roman"/>
          <w:lang w:eastAsia="ru-RU"/>
        </w:rPr>
        <w:t xml:space="preserve">оскільки для цієї вікової категорії навіть рідною мовою ця інформація відома в дуже обмеженому обсязі й важко очікувати, що вона може бути опрацьована іноземною мовою. Окрім того, лексика, потрібна для висвітлення теми, та граматичні структури, серед яких дуже поширені пасивні конструкції, відзначаються підвищеним ступенем складності, що перевищує  рівень А1. </w:t>
      </w:r>
    </w:p>
    <w:p w:rsidR="008337AC" w:rsidRPr="008337AC" w:rsidRDefault="008337AC" w:rsidP="008337AC">
      <w:pPr>
        <w:spacing w:after="0" w:line="240" w:lineRule="auto"/>
        <w:ind w:firstLine="709"/>
        <w:jc w:val="both"/>
        <w:rPr>
          <w:rFonts w:eastAsia="Times New Roman"/>
          <w:lang w:eastAsia="ru-RU"/>
        </w:rPr>
      </w:pPr>
      <w:r w:rsidRPr="008337AC">
        <w:rPr>
          <w:rFonts w:eastAsia="Times New Roman"/>
          <w:lang w:eastAsia="ru-RU"/>
        </w:rPr>
        <w:t xml:space="preserve">У розвантаженій програмі важливе місце посідає демонстрація знань, навичок та вмінь у відповідних типових контекстах їх використання через компетенції. Відтак важливими вважаються не тільки процеси </w:t>
      </w:r>
      <w:r w:rsidRPr="008337AC">
        <w:rPr>
          <w:rFonts w:eastAsia="Times New Roman"/>
          <w:b/>
          <w:bCs/>
          <w:lang w:eastAsia="ru-RU"/>
        </w:rPr>
        <w:t xml:space="preserve">засвоєння </w:t>
      </w:r>
      <w:r w:rsidRPr="008337AC">
        <w:rPr>
          <w:rFonts w:eastAsia="Times New Roman"/>
          <w:lang w:eastAsia="ru-RU"/>
        </w:rPr>
        <w:t xml:space="preserve">змісту, методів та форм контролю навчального процесу, а й </w:t>
      </w:r>
      <w:r w:rsidRPr="008337AC">
        <w:rPr>
          <w:rFonts w:eastAsia="Times New Roman"/>
          <w:b/>
          <w:bCs/>
          <w:lang w:eastAsia="ru-RU"/>
        </w:rPr>
        <w:t>оцінювання</w:t>
      </w:r>
      <w:r w:rsidRPr="008337AC">
        <w:rPr>
          <w:rFonts w:eastAsia="Times New Roman"/>
          <w:lang w:eastAsia="ru-RU"/>
        </w:rPr>
        <w:t xml:space="preserve"> та </w:t>
      </w:r>
      <w:r w:rsidRPr="008337AC">
        <w:rPr>
          <w:rFonts w:eastAsia="Times New Roman"/>
          <w:b/>
          <w:bCs/>
          <w:lang w:eastAsia="ru-RU"/>
        </w:rPr>
        <w:t>показ</w:t>
      </w:r>
      <w:r w:rsidRPr="008337AC">
        <w:rPr>
          <w:rFonts w:eastAsia="Times New Roman"/>
          <w:lang w:eastAsia="ru-RU"/>
        </w:rPr>
        <w:t xml:space="preserve"> засвоєного, зрозумілого, побаченого, почутого, переглянутого.</w:t>
      </w:r>
    </w:p>
    <w:p w:rsidR="008337AC" w:rsidRPr="008337AC" w:rsidRDefault="008337AC" w:rsidP="008337AC">
      <w:pPr>
        <w:spacing w:after="0" w:line="240" w:lineRule="auto"/>
        <w:ind w:firstLine="709"/>
        <w:jc w:val="both"/>
        <w:rPr>
          <w:rFonts w:eastAsia="Times New Roman"/>
          <w:lang w:eastAsia="ru-RU"/>
        </w:rPr>
      </w:pPr>
      <w:r w:rsidRPr="008337AC">
        <w:rPr>
          <w:rFonts w:eastAsia="Times New Roman"/>
          <w:lang w:eastAsia="ru-RU"/>
        </w:rPr>
        <w:lastRenderedPageBreak/>
        <w:t xml:space="preserve"> Вилучено ряд граматичних структур, які не несуть основного навантаження для відтворення знань. Ряд граматичних структур перенесено до матеріалу інших класів, де вони логічніше поєднані з тематичним розподілом. Також у певних класах обмежено вивчення цілого ряду граматичних явищ через вилучення більш складних форм, перенесення їх до наступних класів. </w:t>
      </w:r>
    </w:p>
    <w:p w:rsidR="008337AC" w:rsidRPr="008337AC" w:rsidRDefault="008337AC" w:rsidP="008337AC">
      <w:pPr>
        <w:spacing w:after="0" w:line="240" w:lineRule="auto"/>
        <w:jc w:val="both"/>
        <w:rPr>
          <w:rFonts w:eastAsia="Times New Roman"/>
          <w:lang w:eastAsia="ru-RU"/>
        </w:rPr>
      </w:pPr>
      <w:r w:rsidRPr="008337AC">
        <w:rPr>
          <w:rFonts w:eastAsia="Times New Roman"/>
          <w:lang w:eastAsia="ru-RU"/>
        </w:rPr>
        <w:t xml:space="preserve">          Програма не обмежує </w:t>
      </w:r>
      <w:proofErr w:type="spellStart"/>
      <w:r w:rsidRPr="008337AC">
        <w:rPr>
          <w:rFonts w:eastAsia="Times New Roman"/>
          <w:lang w:eastAsia="ru-RU"/>
        </w:rPr>
        <w:t>самостiйнiсть</w:t>
      </w:r>
      <w:proofErr w:type="spellEnd"/>
      <w:r w:rsidRPr="008337AC">
        <w:rPr>
          <w:rFonts w:eastAsia="Times New Roman"/>
          <w:lang w:eastAsia="ru-RU"/>
        </w:rPr>
        <w:t xml:space="preserve"> і творчу </w:t>
      </w:r>
      <w:proofErr w:type="spellStart"/>
      <w:r w:rsidRPr="008337AC">
        <w:rPr>
          <w:rFonts w:eastAsia="Times New Roman"/>
          <w:lang w:eastAsia="ru-RU"/>
        </w:rPr>
        <w:t>iнiцiативу</w:t>
      </w:r>
      <w:proofErr w:type="spellEnd"/>
      <w:r w:rsidRPr="008337AC">
        <w:rPr>
          <w:rFonts w:eastAsia="Times New Roman"/>
          <w:lang w:eastAsia="ru-RU"/>
        </w:rPr>
        <w:t xml:space="preserve"> вчителя, передбачаючи гнучкість у відборі та розподілі навчального матеріалу відповідно до потреб учнів та обраних засобів навчання (навчально-методичні комплекси, підручники, посібники, аудіо, відео матеріали тощо).  Докладніше на офіційному веб-сайті МОН України за покликанням</w:t>
      </w:r>
      <w:r w:rsidRPr="008337AC">
        <w:rPr>
          <w:rFonts w:eastAsia="Times New Roman"/>
          <w:lang w:val="ru-RU" w:eastAsia="ru-RU"/>
        </w:rPr>
        <w:t>:</w:t>
      </w:r>
      <w:r w:rsidRPr="008337AC">
        <w:rPr>
          <w:rFonts w:eastAsia="Times New Roman"/>
          <w:lang w:eastAsia="ru-RU"/>
        </w:rPr>
        <w:t xml:space="preserve"> </w:t>
      </w:r>
      <w:hyperlink r:id="rId5" w:history="1">
        <w:r w:rsidRPr="008337AC">
          <w:rPr>
            <w:rFonts w:eastAsia="Times New Roman"/>
            <w:u w:val="single"/>
            <w:lang w:eastAsia="ru-RU"/>
          </w:rPr>
          <w:t>http://old.mon.gov.ua/ua/pr-viddil/1312/1421</w:t>
        </w:r>
        <w:r w:rsidRPr="008337AC">
          <w:rPr>
            <w:rFonts w:eastAsia="Times New Roman"/>
            <w:u w:val="single"/>
            <w:lang w:eastAsia="ru-RU"/>
          </w:rPr>
          <w:t>1</w:t>
        </w:r>
        <w:r w:rsidRPr="008337AC">
          <w:rPr>
            <w:rFonts w:eastAsia="Times New Roman"/>
            <w:u w:val="single"/>
            <w:lang w:eastAsia="ru-RU"/>
          </w:rPr>
          <w:t>44886/1428333274/</w:t>
        </w:r>
      </w:hyperlink>
      <w:r w:rsidRPr="008337AC">
        <w:rPr>
          <w:rFonts w:eastAsia="Times New Roman"/>
          <w:lang w:eastAsia="ru-RU"/>
        </w:rPr>
        <w:t xml:space="preserve"> .</w:t>
      </w:r>
    </w:p>
    <w:p w:rsidR="008337AC" w:rsidRPr="008337AC" w:rsidRDefault="008337AC" w:rsidP="008337AC">
      <w:pPr>
        <w:spacing w:after="0" w:line="240" w:lineRule="auto"/>
        <w:ind w:firstLine="709"/>
        <w:jc w:val="both"/>
        <w:rPr>
          <w:rFonts w:eastAsia="Times New Roman"/>
          <w:lang w:eastAsia="ru-RU"/>
        </w:rPr>
      </w:pPr>
      <w:r w:rsidRPr="008337AC">
        <w:rPr>
          <w:rFonts w:eastAsia="Times New Roman"/>
          <w:b/>
          <w:bCs/>
          <w:lang w:eastAsia="ru-RU"/>
        </w:rPr>
        <w:t xml:space="preserve"> </w:t>
      </w:r>
      <w:r w:rsidRPr="008337AC">
        <w:rPr>
          <w:rFonts w:eastAsia="Times New Roman"/>
          <w:lang w:eastAsia="ru-RU"/>
        </w:rPr>
        <w:t xml:space="preserve">Звертаємо увагу,  що рішення про запровадження вивчення другої іноземної мови приймається самостійно навчальними закладами, залежно від умов для такого вивчення, відповідно до  Типових навчальних планів загальноосвітніх навчальних закладів ІІ ступеня (наказ МОН України від 29.05.2014 № 664), згідно з якими  навчальний заклад отримав право вибору щодо вивчення другої іноземної мови. </w:t>
      </w:r>
    </w:p>
    <w:p w:rsidR="008337AC" w:rsidRPr="008337AC" w:rsidRDefault="008337AC" w:rsidP="008337AC">
      <w:pPr>
        <w:spacing w:after="0" w:line="240" w:lineRule="auto"/>
        <w:rPr>
          <w:rFonts w:eastAsia="Times New Roman"/>
          <w:b/>
          <w:bCs/>
          <w:lang w:eastAsia="ru-RU"/>
        </w:rPr>
      </w:pPr>
      <w:r w:rsidRPr="008337AC">
        <w:rPr>
          <w:rFonts w:eastAsia="Times New Roman"/>
          <w:b/>
          <w:bCs/>
          <w:lang w:eastAsia="ru-RU"/>
        </w:rPr>
        <w:t xml:space="preserve">          Організація літніх мовних таборів</w:t>
      </w:r>
    </w:p>
    <w:p w:rsidR="008337AC" w:rsidRPr="008337AC" w:rsidRDefault="008337AC" w:rsidP="008337AC">
      <w:pPr>
        <w:spacing w:after="0" w:line="240" w:lineRule="auto"/>
        <w:ind w:firstLine="709"/>
        <w:jc w:val="both"/>
        <w:rPr>
          <w:rFonts w:eastAsia="Times New Roman"/>
        </w:rPr>
      </w:pPr>
      <w:r w:rsidRPr="008337AC">
        <w:rPr>
          <w:rFonts w:eastAsia="Times New Roman"/>
        </w:rPr>
        <w:t>Одним із нестандартних підходів для забезпечення якісного навчання дітей мовам є створення літніх таборів з іноземних мов. Такі табори покликані спонукати школярів практично застосовувати знання з мов, отриманих протягом навчального року. У таборах діти матимуть можливість спілкуватися іноземними мовами та застосовувати їх у різних формах діяльності (в ігрових та концертних програмах, театральних виставах тощо). </w:t>
      </w:r>
    </w:p>
    <w:p w:rsidR="008337AC" w:rsidRPr="008337AC" w:rsidRDefault="008337AC" w:rsidP="008337AC">
      <w:pPr>
        <w:spacing w:after="0" w:line="240" w:lineRule="auto"/>
        <w:ind w:firstLine="709"/>
        <w:jc w:val="both"/>
        <w:rPr>
          <w:rFonts w:eastAsia="Times New Roman"/>
        </w:rPr>
      </w:pPr>
      <w:r w:rsidRPr="008337AC">
        <w:rPr>
          <w:rFonts w:eastAsia="Times New Roman"/>
        </w:rPr>
        <w:t xml:space="preserve">Завдання мовного табору – показати дітям інший, відмінний від шкільного, стиль викладання, де наголос робиться на практичній частині й знаннях, які можна застосувати пізніше й у інших сферах. </w:t>
      </w:r>
    </w:p>
    <w:p w:rsidR="008337AC" w:rsidRPr="008337AC" w:rsidRDefault="008337AC" w:rsidP="008337AC">
      <w:pPr>
        <w:spacing w:after="0" w:line="240" w:lineRule="auto"/>
        <w:ind w:firstLine="709"/>
        <w:jc w:val="both"/>
        <w:rPr>
          <w:rFonts w:eastAsia="Times New Roman"/>
        </w:rPr>
      </w:pPr>
      <w:r w:rsidRPr="008337AC">
        <w:rPr>
          <w:rFonts w:eastAsia="Times New Roman"/>
        </w:rPr>
        <w:t xml:space="preserve">Підготовку до проведення таких таборів доцільно розпочинати заздалегідь. Усі інформаційні матеріали знаходяться на сайті Міністерства </w:t>
      </w:r>
      <w:hyperlink r:id="rId6" w:history="1">
        <w:r w:rsidRPr="008337AC">
          <w:rPr>
            <w:rFonts w:eastAsia="Times New Roman"/>
            <w:u w:val="single"/>
          </w:rPr>
          <w:t>http://www.mon.gov.ua/activity/litni-mo</w:t>
        </w:r>
        <w:bookmarkStart w:id="0" w:name="_GoBack"/>
        <w:bookmarkEnd w:id="0"/>
        <w:r w:rsidRPr="008337AC">
          <w:rPr>
            <w:rFonts w:eastAsia="Times New Roman"/>
            <w:u w:val="single"/>
          </w:rPr>
          <w:t>v</w:t>
        </w:r>
        <w:r w:rsidRPr="008337AC">
          <w:rPr>
            <w:rFonts w:eastAsia="Times New Roman"/>
            <w:u w:val="single"/>
          </w:rPr>
          <w:t>ni-tabori/</w:t>
        </w:r>
      </w:hyperlink>
      <w:r w:rsidRPr="008337AC">
        <w:rPr>
          <w:rFonts w:eastAsia="Times New Roman"/>
        </w:rPr>
        <w:t xml:space="preserve"> . </w:t>
      </w:r>
    </w:p>
    <w:p w:rsidR="008337AC" w:rsidRPr="008337AC" w:rsidRDefault="008337AC" w:rsidP="008337AC">
      <w:pPr>
        <w:spacing w:after="0" w:line="240" w:lineRule="auto"/>
        <w:ind w:firstLine="720"/>
        <w:jc w:val="both"/>
        <w:rPr>
          <w:rFonts w:eastAsia="Times New Roman"/>
          <w:lang w:eastAsia="ru-RU"/>
        </w:rPr>
      </w:pPr>
      <w:r w:rsidRPr="008337AC">
        <w:rPr>
          <w:rFonts w:eastAsia="Times New Roman"/>
          <w:lang w:eastAsia="ru-RU"/>
        </w:rPr>
        <w:t xml:space="preserve">З огляду на те, що стратегічні документи щодо вивчення іноземних мов зорієнтовані на Загальноєвропейські рекомендації з мовної освіти, більш детально ознайомитись із основними положеннями цього документу можна на сайтах: </w:t>
      </w:r>
      <w:hyperlink r:id="rId7" w:history="1">
        <w:r w:rsidRPr="008337AC">
          <w:rPr>
            <w:rFonts w:eastAsia="Times New Roman"/>
            <w:u w:val="single"/>
            <w:lang w:eastAsia="ru-RU"/>
          </w:rPr>
          <w:t>http://www.coe.int</w:t>
        </w:r>
      </w:hyperlink>
      <w:r w:rsidRPr="008337AC">
        <w:rPr>
          <w:rFonts w:eastAsia="Times New Roman"/>
          <w:lang w:eastAsia="ru-RU"/>
        </w:rPr>
        <w:t xml:space="preserve">; </w:t>
      </w:r>
      <w:hyperlink r:id="rId8" w:history="1">
        <w:r w:rsidRPr="008337AC">
          <w:rPr>
            <w:rFonts w:eastAsia="Times New Roman"/>
            <w:u w:val="single"/>
            <w:lang w:eastAsia="ru-RU"/>
          </w:rPr>
          <w:t>www.britishcouncil.org.ua</w:t>
        </w:r>
      </w:hyperlink>
      <w:r w:rsidRPr="008337AC">
        <w:rPr>
          <w:rFonts w:eastAsia="Times New Roman"/>
          <w:lang w:eastAsia="ru-RU"/>
        </w:rPr>
        <w:t xml:space="preserve">; </w:t>
      </w:r>
      <w:hyperlink r:id="rId9" w:history="1">
        <w:r w:rsidRPr="008337AC">
          <w:rPr>
            <w:rFonts w:eastAsia="Times New Roman"/>
            <w:u w:val="single"/>
            <w:lang w:eastAsia="ru-RU"/>
          </w:rPr>
          <w:t>www.goethe.de/kiev</w:t>
        </w:r>
      </w:hyperlink>
      <w:r w:rsidRPr="008337AC">
        <w:rPr>
          <w:rFonts w:eastAsia="Times New Roman"/>
          <w:lang w:eastAsia="ru-RU"/>
        </w:rPr>
        <w:t>.</w:t>
      </w:r>
    </w:p>
    <w:p w:rsidR="008337AC" w:rsidRPr="008337AC" w:rsidRDefault="008337AC" w:rsidP="008337AC">
      <w:pPr>
        <w:spacing w:after="0" w:line="240" w:lineRule="auto"/>
        <w:jc w:val="both"/>
        <w:rPr>
          <w:rFonts w:eastAsia="Times New Roman"/>
          <w:b/>
          <w:bCs/>
          <w:lang w:eastAsia="ru-RU"/>
        </w:rPr>
      </w:pPr>
      <w:r w:rsidRPr="008337AC">
        <w:rPr>
          <w:rFonts w:eastAsia="Times New Roman"/>
          <w:lang w:eastAsia="ru-RU"/>
        </w:rPr>
        <w:t xml:space="preserve">        </w:t>
      </w:r>
      <w:proofErr w:type="spellStart"/>
      <w:r w:rsidRPr="008337AC">
        <w:rPr>
          <w:rFonts w:eastAsia="Times New Roman"/>
          <w:lang w:val="ru-RU" w:eastAsia="ru-RU"/>
        </w:rPr>
        <w:t>Під</w:t>
      </w:r>
      <w:proofErr w:type="spellEnd"/>
      <w:r w:rsidRPr="008337AC">
        <w:rPr>
          <w:rFonts w:eastAsia="Times New Roman"/>
          <w:lang w:val="ru-RU" w:eastAsia="ru-RU"/>
        </w:rPr>
        <w:t xml:space="preserve"> час </w:t>
      </w:r>
      <w:proofErr w:type="spellStart"/>
      <w:r w:rsidRPr="008337AC">
        <w:rPr>
          <w:rFonts w:eastAsia="Times New Roman"/>
          <w:lang w:val="ru-RU" w:eastAsia="ru-RU"/>
        </w:rPr>
        <w:t>підготовки</w:t>
      </w:r>
      <w:proofErr w:type="spellEnd"/>
      <w:r w:rsidRPr="008337AC">
        <w:rPr>
          <w:rFonts w:eastAsia="Times New Roman"/>
          <w:lang w:val="ru-RU" w:eastAsia="ru-RU"/>
        </w:rPr>
        <w:t xml:space="preserve"> </w:t>
      </w:r>
      <w:proofErr w:type="spellStart"/>
      <w:r w:rsidRPr="008337AC">
        <w:rPr>
          <w:rFonts w:eastAsia="Times New Roman"/>
          <w:lang w:val="ru-RU" w:eastAsia="ru-RU"/>
        </w:rPr>
        <w:t>вчителів</w:t>
      </w:r>
      <w:proofErr w:type="spellEnd"/>
      <w:r w:rsidRPr="008337AC">
        <w:rPr>
          <w:rFonts w:eastAsia="Times New Roman"/>
          <w:lang w:val="ru-RU" w:eastAsia="ru-RU"/>
        </w:rPr>
        <w:t xml:space="preserve"> до </w:t>
      </w:r>
      <w:proofErr w:type="spellStart"/>
      <w:r w:rsidRPr="008337AC">
        <w:rPr>
          <w:rFonts w:eastAsia="Times New Roman"/>
          <w:lang w:val="ru-RU" w:eastAsia="ru-RU"/>
        </w:rPr>
        <w:t>уроків</w:t>
      </w:r>
      <w:proofErr w:type="spellEnd"/>
      <w:r w:rsidRPr="008337AC">
        <w:rPr>
          <w:rFonts w:eastAsia="Times New Roman"/>
          <w:lang w:val="ru-RU" w:eastAsia="ru-RU"/>
        </w:rPr>
        <w:t xml:space="preserve"> </w:t>
      </w:r>
      <w:proofErr w:type="spellStart"/>
      <w:r w:rsidRPr="008337AC">
        <w:rPr>
          <w:rFonts w:eastAsia="Times New Roman"/>
          <w:lang w:val="ru-RU" w:eastAsia="ru-RU"/>
        </w:rPr>
        <w:t>радимо</w:t>
      </w:r>
      <w:proofErr w:type="spellEnd"/>
      <w:r w:rsidRPr="008337AC">
        <w:rPr>
          <w:rFonts w:eastAsia="Times New Roman"/>
          <w:lang w:val="ru-RU" w:eastAsia="ru-RU"/>
        </w:rPr>
        <w:t xml:space="preserve"> </w:t>
      </w:r>
      <w:proofErr w:type="spellStart"/>
      <w:r w:rsidRPr="008337AC">
        <w:rPr>
          <w:rFonts w:eastAsia="Times New Roman"/>
          <w:lang w:val="ru-RU" w:eastAsia="ru-RU"/>
        </w:rPr>
        <w:t>використовувати</w:t>
      </w:r>
      <w:proofErr w:type="spellEnd"/>
      <w:r w:rsidRPr="008337AC">
        <w:rPr>
          <w:rFonts w:eastAsia="Times New Roman"/>
          <w:lang w:val="ru-RU" w:eastAsia="ru-RU"/>
        </w:rPr>
        <w:t xml:space="preserve"> </w:t>
      </w:r>
      <w:proofErr w:type="spellStart"/>
      <w:r w:rsidRPr="008337AC">
        <w:rPr>
          <w:rFonts w:eastAsia="Times New Roman"/>
          <w:lang w:val="ru-RU" w:eastAsia="ru-RU"/>
        </w:rPr>
        <w:t>періодичн</w:t>
      </w:r>
      <w:proofErr w:type="spellEnd"/>
      <w:r w:rsidRPr="008337AC">
        <w:rPr>
          <w:rFonts w:eastAsia="Times New Roman"/>
          <w:lang w:eastAsia="ru-RU"/>
        </w:rPr>
        <w:t>е</w:t>
      </w:r>
      <w:r w:rsidRPr="008337AC">
        <w:rPr>
          <w:rFonts w:eastAsia="Times New Roman"/>
          <w:lang w:val="ru-RU" w:eastAsia="ru-RU"/>
        </w:rPr>
        <w:t xml:space="preserve"> </w:t>
      </w:r>
      <w:proofErr w:type="spellStart"/>
      <w:r w:rsidRPr="008337AC">
        <w:rPr>
          <w:rFonts w:eastAsia="Times New Roman"/>
          <w:lang w:val="ru-RU" w:eastAsia="ru-RU"/>
        </w:rPr>
        <w:t>фахов</w:t>
      </w:r>
      <w:proofErr w:type="spellEnd"/>
      <w:r w:rsidRPr="008337AC">
        <w:rPr>
          <w:rFonts w:eastAsia="Times New Roman"/>
          <w:lang w:eastAsia="ru-RU"/>
        </w:rPr>
        <w:t>е</w:t>
      </w:r>
      <w:r w:rsidRPr="008337AC">
        <w:rPr>
          <w:rFonts w:eastAsia="Times New Roman"/>
          <w:lang w:val="ru-RU" w:eastAsia="ru-RU"/>
        </w:rPr>
        <w:t xml:space="preserve"> </w:t>
      </w:r>
      <w:proofErr w:type="spellStart"/>
      <w:r w:rsidRPr="008337AC">
        <w:rPr>
          <w:rFonts w:eastAsia="Times New Roman"/>
          <w:lang w:val="ru-RU" w:eastAsia="ru-RU"/>
        </w:rPr>
        <w:t>видання</w:t>
      </w:r>
      <w:proofErr w:type="spellEnd"/>
      <w:r w:rsidRPr="008337AC">
        <w:rPr>
          <w:rFonts w:eastAsia="Times New Roman"/>
          <w:lang w:val="ru-RU" w:eastAsia="ru-RU"/>
        </w:rPr>
        <w:t>:</w:t>
      </w:r>
      <w:r w:rsidRPr="008337AC">
        <w:rPr>
          <w:rFonts w:eastAsia="Times New Roman"/>
          <w:lang w:eastAsia="ru-RU"/>
        </w:rPr>
        <w:t xml:space="preserve"> журнал «Іноземні мови в школах України».</w:t>
      </w:r>
    </w:p>
    <w:p w:rsidR="008337AC" w:rsidRPr="008337AC" w:rsidRDefault="008337AC" w:rsidP="008337AC">
      <w:pPr>
        <w:spacing w:after="0" w:line="240" w:lineRule="auto"/>
        <w:jc w:val="center"/>
        <w:rPr>
          <w:rFonts w:eastAsia="Calibri"/>
          <w:b/>
          <w:bCs/>
        </w:rPr>
      </w:pPr>
    </w:p>
    <w:p w:rsidR="00FB38CC" w:rsidRDefault="00FB38CC"/>
    <w:sectPr w:rsidR="00FB38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7AC"/>
    <w:rsid w:val="008337AC"/>
    <w:rsid w:val="009B4AB3"/>
    <w:rsid w:val="00FB38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ua/" TargetMode="External"/><Relationship Id="rId3" Type="http://schemas.openxmlformats.org/officeDocument/2006/relationships/settings" Target="settings.xml"/><Relationship Id="rId7" Type="http://schemas.openxmlformats.org/officeDocument/2006/relationships/hyperlink" Target="http://www.coe.in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n.gov.ua/activity/litni-movni-tabori/" TargetMode="External"/><Relationship Id="rId11" Type="http://schemas.openxmlformats.org/officeDocument/2006/relationships/theme" Target="theme/theme1.xml"/><Relationship Id="rId5" Type="http://schemas.openxmlformats.org/officeDocument/2006/relationships/hyperlink" Target="http://old.mon.gov.ua/ua/pr-viddil/1312/1421144886/142833327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ethe.de/kiev"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ШЖ</dc:creator>
  <cp:keywords/>
  <dc:description/>
  <cp:lastModifiedBy>zadorozhniy</cp:lastModifiedBy>
  <cp:revision>2</cp:revision>
  <dcterms:created xsi:type="dcterms:W3CDTF">2015-07-05T08:42:00Z</dcterms:created>
  <dcterms:modified xsi:type="dcterms:W3CDTF">2016-01-03T10:19:00Z</dcterms:modified>
</cp:coreProperties>
</file>